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2F6D" w14:textId="60B062A1" w:rsidR="00DB4617" w:rsidRPr="00D63C1C" w:rsidRDefault="00D63C1C" w:rsidP="00D63C1C">
      <w:pPr>
        <w:jc w:val="both"/>
        <w:rPr>
          <w:rFonts w:ascii="Minion Pro" w:hAnsi="Minion Pro"/>
          <w:b/>
          <w:bCs/>
          <w:sz w:val="24"/>
          <w:szCs w:val="24"/>
        </w:rPr>
      </w:pPr>
      <w:r w:rsidRPr="00D63C1C">
        <w:rPr>
          <w:rFonts w:ascii="Minion Pro" w:hAnsi="Minion Pro"/>
          <w:b/>
          <w:bCs/>
          <w:sz w:val="24"/>
          <w:szCs w:val="24"/>
        </w:rPr>
        <w:t xml:space="preserve">Námi navržené </w:t>
      </w:r>
      <w:r w:rsidR="00B31951">
        <w:rPr>
          <w:rFonts w:ascii="Minion Pro" w:hAnsi="Minion Pro"/>
          <w:b/>
          <w:bCs/>
          <w:sz w:val="24"/>
          <w:szCs w:val="24"/>
        </w:rPr>
        <w:t>připomínky</w:t>
      </w:r>
      <w:r w:rsidRPr="00D63C1C">
        <w:rPr>
          <w:rFonts w:ascii="Minion Pro" w:hAnsi="Minion Pro"/>
          <w:b/>
          <w:bCs/>
          <w:sz w:val="24"/>
          <w:szCs w:val="24"/>
        </w:rPr>
        <w:t xml:space="preserve"> k Oznámení EIA. Můžete použít všechny nebo vybrat jen některé. Námitky zkopírujte do připraveného vzoru „EIA_Vyjádření k dopsání“:</w:t>
      </w:r>
    </w:p>
    <w:p w14:paraId="5B268EA1" w14:textId="77777777" w:rsidR="00D63C1C" w:rsidRPr="007432F6" w:rsidRDefault="00D63C1C" w:rsidP="00D63C1C">
      <w:pPr>
        <w:pStyle w:val="Odstavecseseznamem"/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 xml:space="preserve">Dle textu Oznámení na území není „přírodně zajímavý biotop“ (viz s. 94). 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Záměr je </w:t>
      </w:r>
      <w:r>
        <w:rPr>
          <w:rFonts w:ascii="Minion Pro" w:eastAsia="Calibri" w:hAnsi="Minion Pro" w:cs="Calibri"/>
          <w:sz w:val="24"/>
          <w:szCs w:val="24"/>
        </w:rPr>
        <w:t xml:space="preserve">však 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umístěn v lokalitě, kde se dle biologického průzkumu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nachází celá řada zvláště chráněných druhů  živočichů a rostlin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. Jen v obodbí posledních 12 měsíců zde byl návštěvníky spatřen např. mlok skvrnitý, rak říční či různé druhy vážek. Na území se také uhnízdil orel mořský, který je zákonem 114/1992 Sb chráněn jako kriticky ohrožený druh (jeho výskyt předkládaný text nikde nezmiňuje). </w:t>
      </w:r>
      <w:r>
        <w:rPr>
          <w:rFonts w:ascii="Minion Pro" w:eastAsia="Calibri" w:hAnsi="Minion Pro" w:cs="Calibri"/>
          <w:sz w:val="24"/>
          <w:szCs w:val="24"/>
        </w:rPr>
        <w:t>Dále pak v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 textu </w:t>
      </w:r>
      <w:r>
        <w:rPr>
          <w:rFonts w:ascii="Minion Pro" w:eastAsia="Calibri" w:hAnsi="Minion Pro" w:cs="Calibri"/>
          <w:sz w:val="24"/>
          <w:szCs w:val="24"/>
        </w:rPr>
        <w:t>předkladatele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 jsou sice (od s. 36) uváděná různá opatření v rámci zachování biodiverzity území, nicméně nejsou uvedeny vlivy nutně zvýšeného hluku na vyskytující se živočichy. Domníváme se, že se jedná o na tolik závažný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zásah do biodiverzity</w:t>
      </w:r>
      <w:r w:rsidRPr="00A010A6">
        <w:rPr>
          <w:rFonts w:ascii="Minion Pro" w:eastAsia="Calibri" w:hAnsi="Minion Pro" w:cs="Calibri"/>
          <w:sz w:val="24"/>
          <w:szCs w:val="24"/>
        </w:rPr>
        <w:t>, že je nutné zvážit také výše zmíněné aspekty.</w:t>
      </w:r>
    </w:p>
    <w:p w14:paraId="713A8A2E" w14:textId="77777777" w:rsidR="00D63C1C" w:rsidRPr="00A010A6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eastAsia="Calibri" w:hAnsi="Minion Pro" w:cs="Calibri"/>
          <w:sz w:val="24"/>
          <w:szCs w:val="24"/>
        </w:rPr>
      </w:pPr>
      <w:r w:rsidRPr="00A010A6">
        <w:rPr>
          <w:rFonts w:ascii="Minion Pro" w:eastAsia="Calibri" w:hAnsi="Minion Pro" w:cs="Calibri"/>
          <w:sz w:val="24"/>
          <w:szCs w:val="24"/>
        </w:rPr>
        <w:t>Záměr je umístěn v obci Karviná, což je území s trvale zhoršenou kvalitou ovzduší. Jde o lokalitu s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nejhorším životním prostředím v ČR i v Evropě. Navrhovaný záměr vede k vykácení hektarů vzrostlých dřevin a zastavění nyní zelených ploch. Zmiňovaná náhradní výsadba není schopná dostatečně zmírnit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negativní dopad na kvalitu ovzduší a životního prostředí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 ve městě, kde lidé dlouhodobě dýchají vzduch překračující zákonné limity. Realizace záměru je </w:t>
      </w:r>
      <w:r>
        <w:rPr>
          <w:rFonts w:ascii="Minion Pro" w:eastAsia="Calibri" w:hAnsi="Minion Pro" w:cs="Calibri"/>
          <w:sz w:val="24"/>
          <w:szCs w:val="24"/>
        </w:rPr>
        <w:t xml:space="preserve">tedy 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v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rozporu se Strategií rozvoje MSK 2019 - 2027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, kde je jedním z cílů zlepšení životního prostředí a rozvoj zalesněných ploch. V kraji jsou překračovány imisní limity prachových částic a benzo(a)pyrenu. </w:t>
      </w:r>
    </w:p>
    <w:p w14:paraId="6DD402CA" w14:textId="77777777" w:rsidR="00D63C1C" w:rsidRPr="00225506" w:rsidRDefault="00D63C1C" w:rsidP="00D63C1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 w:rsidRPr="0050711B">
        <w:rPr>
          <w:rFonts w:ascii="Minion Pro" w:eastAsia="Calibri" w:hAnsi="Minion Pro" w:cs="Calibri"/>
          <w:sz w:val="24"/>
          <w:szCs w:val="24"/>
        </w:rPr>
        <w:t xml:space="preserve">Realizace záměru předpokládá </w:t>
      </w:r>
      <w:r w:rsidRPr="00225506">
        <w:rPr>
          <w:rFonts w:ascii="Minion Pro" w:eastAsia="Calibri" w:hAnsi="Minion Pro" w:cs="Calibri"/>
          <w:b/>
          <w:bCs/>
          <w:sz w:val="24"/>
          <w:szCs w:val="24"/>
        </w:rPr>
        <w:t>sadové úpravy k ochránění kostela sv. Petra z Alkantary</w:t>
      </w:r>
      <w:r w:rsidRPr="0050711B">
        <w:rPr>
          <w:rFonts w:ascii="Minion Pro" w:eastAsia="Calibri" w:hAnsi="Minion Pro" w:cs="Calibri"/>
          <w:sz w:val="24"/>
          <w:szCs w:val="24"/>
        </w:rPr>
        <w:t>. Konkrétně se má jednat o výsadbu zeleně v okolí kostela, která zajistí, aby po zhruba 15 letech areál nebyl v přímém pohledovém kontaktu s kostelem. Dále pa</w:t>
      </w:r>
      <w:r>
        <w:rPr>
          <w:rFonts w:ascii="Minion Pro" w:eastAsia="Calibri" w:hAnsi="Minion Pro" w:cs="Calibri"/>
          <w:sz w:val="24"/>
          <w:szCs w:val="24"/>
        </w:rPr>
        <w:t>k k</w:t>
      </w:r>
      <w:r w:rsidRPr="0050711B">
        <w:rPr>
          <w:rFonts w:ascii="Minion Pro" w:eastAsia="Calibri" w:hAnsi="Minion Pro" w:cs="Calibri"/>
          <w:sz w:val="24"/>
          <w:szCs w:val="24"/>
        </w:rPr>
        <w:t xml:space="preserve">apitola Architektonický výraz (s. 25) zmiňuje: „V kombinaci s nadstandardními sadovými úpravami je tak minimalizován vliv na krajinný ráz.“ </w:t>
      </w:r>
      <w:r>
        <w:rPr>
          <w:rFonts w:ascii="Minion Pro" w:eastAsia="Calibri" w:hAnsi="Minion Pro" w:cs="Calibri"/>
          <w:sz w:val="24"/>
          <w:szCs w:val="24"/>
        </w:rPr>
        <w:t xml:space="preserve">Tato tvrzení pokládáme za alarmující. Vzhledem k navrhované výšce staveb a vzhledem ke členitosti okolního terénu je již nyní samozřejmé, že stavba bude hyzdit krajinu, místo aby důstojně reprezentovala Karvinou. Minimálně po dobu zmíněných 15 let </w:t>
      </w:r>
      <w:r w:rsidRPr="00225506">
        <w:rPr>
          <w:rFonts w:ascii="Minion Pro" w:eastAsia="Calibri" w:hAnsi="Minion Pro" w:cs="Calibri"/>
          <w:b/>
          <w:bCs/>
          <w:sz w:val="24"/>
          <w:szCs w:val="24"/>
        </w:rPr>
        <w:t>nebude mít nová zeleň možnost minimalizovat negativní působení na krajinný ráz</w:t>
      </w:r>
      <w:r>
        <w:rPr>
          <w:rFonts w:ascii="Minion Pro" w:eastAsia="Calibri" w:hAnsi="Minion Pro" w:cs="Calibri"/>
          <w:sz w:val="24"/>
          <w:szCs w:val="24"/>
        </w:rPr>
        <w:t xml:space="preserve">. </w:t>
      </w:r>
      <w:r w:rsidRPr="00225506">
        <w:rPr>
          <w:rFonts w:ascii="Minion Pro" w:eastAsia="Calibri" w:hAnsi="Minion Pro" w:cs="Calibri"/>
          <w:sz w:val="24"/>
          <w:szCs w:val="24"/>
        </w:rPr>
        <w:t>Zároveň dojde k pohledovému odříznutí kulturní památky od okolní krajiny.</w:t>
      </w:r>
    </w:p>
    <w:p w14:paraId="797BF7CA" w14:textId="77777777" w:rsidR="00D63C1C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 xml:space="preserve">Realizace záměru a také pozdější provoz postavených hal na sebe váže značnou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>dopravní zátěž</w:t>
      </w:r>
      <w:r>
        <w:rPr>
          <w:rFonts w:ascii="Minion Pro" w:eastAsia="Calibri" w:hAnsi="Minion Pro" w:cs="Calibri"/>
          <w:sz w:val="24"/>
          <w:szCs w:val="24"/>
        </w:rPr>
        <w:t xml:space="preserve"> nejen v samotné Karviné, ale také v širším okolí. </w:t>
      </w:r>
      <w:r w:rsidRPr="009028DB">
        <w:rPr>
          <w:rFonts w:ascii="Minion Pro" w:eastAsia="Calibri" w:hAnsi="Minion Pro" w:cs="Calibri"/>
          <w:sz w:val="24"/>
          <w:szCs w:val="24"/>
        </w:rPr>
        <w:t>Předložený text</w:t>
      </w:r>
      <w:r w:rsidRPr="009028DB">
        <w:rPr>
          <w:rFonts w:ascii="Minion Pro" w:eastAsia="Calibri" w:hAnsi="Minion Pro" w:cs="Calibri"/>
          <w:b/>
          <w:bCs/>
          <w:sz w:val="24"/>
          <w:szCs w:val="24"/>
        </w:rPr>
        <w:t xml:space="preserve"> nezohledňuje dopravní zatížení okolních měst a obcí</w:t>
      </w:r>
      <w:r>
        <w:rPr>
          <w:rFonts w:ascii="Minion Pro" w:eastAsia="Calibri" w:hAnsi="Minion Pro" w:cs="Calibri"/>
          <w:sz w:val="24"/>
          <w:szCs w:val="24"/>
        </w:rPr>
        <w:t xml:space="preserve">, např. ve směru dopravní návaznosti na dálnici D1. </w:t>
      </w:r>
    </w:p>
    <w:p w14:paraId="23DDFCB1" w14:textId="77777777" w:rsidR="00D63C1C" w:rsidRPr="009028DB" w:rsidRDefault="00D63C1C" w:rsidP="00D63C1C">
      <w:pPr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Zároveň pokládáme za nevhodné, že v záměru předkládaném na začátku roku 2025 jsou nároky na dopravní infrastrukturu posuzovány </w:t>
      </w:r>
      <w:r w:rsidRPr="00A1474F">
        <w:rPr>
          <w:rFonts w:ascii="Minion Pro" w:hAnsi="Minion Pro"/>
          <w:b/>
          <w:bCs/>
          <w:sz w:val="24"/>
          <w:szCs w:val="24"/>
        </w:rPr>
        <w:t>dle sčítání dopravy z roku 2020</w:t>
      </w:r>
      <w:r>
        <w:rPr>
          <w:rFonts w:ascii="Minion Pro" w:hAnsi="Minion Pro"/>
          <w:sz w:val="24"/>
          <w:szCs w:val="24"/>
        </w:rPr>
        <w:t xml:space="preserve">. </w:t>
      </w:r>
    </w:p>
    <w:p w14:paraId="1633D2F7" w14:textId="77777777" w:rsidR="00D63C1C" w:rsidRPr="00820957" w:rsidRDefault="00D63C1C" w:rsidP="00D63C1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V analýzách hlukové zátěže uvedných v Oznámení je pozornost soustředěna pouze na obytné prostory v okolí záměru. V celém dokumentu však chybí analýza vlivu zvýšeného hluku na rekreační charakter celého území, včetně budoucího vlivu na záměr POHO Park Gabriela.</w:t>
      </w:r>
    </w:p>
    <w:p w14:paraId="5D311E34" w14:textId="77777777" w:rsidR="00D63C1C" w:rsidRPr="007432F6" w:rsidRDefault="00D63C1C" w:rsidP="00D63C1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Na několika místech je v Oznámení uvedená jako preferovaná varianta napojení na vodní recipienty „</w:t>
      </w:r>
      <w:r w:rsidRPr="007432F6">
        <w:rPr>
          <w:rFonts w:ascii="Minion Pro" w:eastAsia="Calibri" w:hAnsi="Minion Pro" w:cs="Calibri"/>
          <w:b/>
          <w:bCs/>
          <w:sz w:val="24"/>
          <w:szCs w:val="24"/>
        </w:rPr>
        <w:t xml:space="preserve">napojení přímo do Olše </w:t>
      </w:r>
      <w:r>
        <w:rPr>
          <w:rFonts w:ascii="Minion Pro" w:eastAsia="Calibri" w:hAnsi="Minion Pro" w:cs="Calibri"/>
          <w:sz w:val="24"/>
          <w:szCs w:val="24"/>
        </w:rPr>
        <w:t>severovýchodně od areálu kopírující trasu povoleného STL plynovodu, popř. stávajícího teplovodu“. Není však uveden předpokládaný vliv zmíněného napojení na další části toku řeky Olše.</w:t>
      </w:r>
    </w:p>
    <w:p w14:paraId="40608DE0" w14:textId="77777777" w:rsidR="00D63C1C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eastAsia="Calibri" w:hAnsi="Minion Pro" w:cs="Calibri"/>
          <w:sz w:val="24"/>
          <w:szCs w:val="24"/>
        </w:rPr>
      </w:pPr>
      <w:r w:rsidRPr="0066144D">
        <w:rPr>
          <w:rFonts w:ascii="Minion Pro" w:eastAsia="Calibri" w:hAnsi="Minion Pro" w:cs="Calibri"/>
          <w:b/>
          <w:bCs/>
          <w:sz w:val="24"/>
          <w:szCs w:val="24"/>
        </w:rPr>
        <w:t>Lokalita</w:t>
      </w:r>
      <w:r w:rsidRPr="00274D77">
        <w:rPr>
          <w:rFonts w:ascii="Minion Pro" w:eastAsia="Calibri" w:hAnsi="Minion Pro" w:cs="Calibri"/>
          <w:sz w:val="24"/>
          <w:szCs w:val="24"/>
        </w:rPr>
        <w:t xml:space="preserve">, v níž je záměr umístěn, je dle názoru celé řady odborných institucí (mimo jiné Národního památkového ústavu nebo Akademie věd ČR)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 xml:space="preserve">územím, které představuje autentické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lastRenderedPageBreak/>
        <w:t>a názorné svědectví o dopadu těžby fosilních paliv na ekosystém a jeho hodnota je nezastupitelná v rámci České i Evropy</w:t>
      </w:r>
      <w:r w:rsidRPr="00274D77">
        <w:rPr>
          <w:rFonts w:ascii="Minion Pro" w:eastAsia="Calibri" w:hAnsi="Minion Pro" w:cs="Calibri"/>
          <w:sz w:val="24"/>
          <w:szCs w:val="24"/>
        </w:rPr>
        <w:t>. Národní památkový ústav také ve své zprávě z r. 2023</w:t>
      </w:r>
      <w:r>
        <w:rPr>
          <w:rFonts w:ascii="Minion Pro" w:eastAsia="Calibri" w:hAnsi="Minion Pro" w:cs="Calibri"/>
          <w:sz w:val="24"/>
          <w:szCs w:val="24"/>
        </w:rPr>
        <w:t xml:space="preserve"> </w:t>
      </w:r>
      <w:r w:rsidRPr="00274D77">
        <w:rPr>
          <w:rFonts w:ascii="Minion Pro" w:eastAsia="Calibri" w:hAnsi="Minion Pro" w:cs="Calibri"/>
          <w:sz w:val="24"/>
          <w:szCs w:val="24"/>
        </w:rPr>
        <w:t>označuje území staré Karviné za „jednu z nejlépe vyvinutých hornických krajin ve střední Evropě“ (</w:t>
      </w:r>
      <w:r w:rsidRPr="00274D77">
        <w:rPr>
          <w:rFonts w:ascii="Minion Pro" w:eastAsia="Calibri" w:hAnsi="Minion Pro" w:cs="Calibri"/>
          <w:i/>
          <w:iCs/>
          <w:sz w:val="24"/>
          <w:szCs w:val="24"/>
        </w:rPr>
        <w:t>Zaniklá Karviná. K. ú. Karviná-Doly a jeho hodnoty</w:t>
      </w:r>
      <w:r w:rsidRPr="00274D77">
        <w:rPr>
          <w:rFonts w:ascii="Minion Pro" w:eastAsia="Calibri" w:hAnsi="Minion Pro" w:cs="Calibri"/>
          <w:sz w:val="24"/>
          <w:szCs w:val="24"/>
        </w:rPr>
        <w:t>, NPÚ, Ostrava 2023, s. 1) a popisuje jeho unikátní hodnoty. Z toho důvodu bylo u celého území iniciováno prohlášení za plošnou krajinnou památkovou zónu.</w:t>
      </w:r>
      <w:r>
        <w:rPr>
          <w:rFonts w:ascii="Minion Pro" w:eastAsia="Calibri" w:hAnsi="Minion Pro" w:cs="Calibri"/>
          <w:sz w:val="24"/>
          <w:szCs w:val="24"/>
        </w:rPr>
        <w:t xml:space="preserve"> Tyto skutečnosti nejsou v Oznámení vůbec zmíněny.</w:t>
      </w:r>
    </w:p>
    <w:p w14:paraId="532FB42C" w14:textId="77777777" w:rsidR="00D63C1C" w:rsidRPr="009A5007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V Oznámení Oznamovatel uvádí, že navazuje na již existující stanovisko k části záměru </w:t>
      </w:r>
      <w:r>
        <w:rPr>
          <w:rFonts w:ascii="Minion Pro" w:eastAsia="Calibri" w:hAnsi="Minion Pro" w:cs="Calibri"/>
          <w:sz w:val="24"/>
          <w:szCs w:val="24"/>
        </w:rPr>
        <w:br/>
      </w:r>
      <w:r w:rsidRPr="009A5007">
        <w:rPr>
          <w:rFonts w:ascii="Minion Pro" w:eastAsia="Calibri" w:hAnsi="Minion Pro" w:cs="Calibri"/>
          <w:sz w:val="24"/>
          <w:szCs w:val="24"/>
        </w:rPr>
        <w:t>č. j. 42681/ENV/13 (aktuální platné prodloužení platnosti stanoviska č. j. MZP/2020/580/</w:t>
      </w:r>
      <w:r>
        <w:rPr>
          <w:rFonts w:ascii="Minion Pro" w:eastAsia="Calibri" w:hAnsi="Minion Pro" w:cs="Calibri"/>
          <w:sz w:val="24"/>
          <w:szCs w:val="24"/>
        </w:rPr>
        <w:br/>
      </w:r>
      <w:r w:rsidRPr="009A5007">
        <w:rPr>
          <w:rFonts w:ascii="Minion Pro" w:eastAsia="Calibri" w:hAnsi="Minion Pro" w:cs="Calibri"/>
          <w:sz w:val="24"/>
          <w:szCs w:val="24"/>
        </w:rPr>
        <w:t xml:space="preserve">376MZP/2020/580/376) a aktuálním Oznámením rozšiřuje uvedený záměr o budoucí využití, přičemž respektuje podmínky platného stanoviska. Dle našeho názoru se však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>aktuální Oznámení podstatným způsobem liší od již projednaného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oznámení a na základě něj vydaného stanoviska. Oznámení totiž nejenže rozšiřuje záměr o konkrétní využití, kdy již projednané oznámení řešilo pouze část záměru spočívající v provedení terénních úprav, ale podstatně mění i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členění ploch v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území, rozšiřuje plochu záměru a podstatně mění podobu a rozsah navržených terénních úprav. </w:t>
      </w:r>
    </w:p>
    <w:p w14:paraId="681FE81B" w14:textId="77777777" w:rsidR="00D63C1C" w:rsidRDefault="00D63C1C" w:rsidP="00D63C1C">
      <w:pPr>
        <w:spacing w:before="60"/>
        <w:ind w:left="34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Dle vydaného stanoviska, a tedy dle původního členění ploch v území, měla být v území vyčleněna plocha E, která měla být vynechána z podstatné části z provedení HTÚ (podmínka č. 5), měla zde být zachována část dřevin (podmínka č. 22) apod. Podle aktuálního Oznámení bude tato plocha zastavěna, tím pádem nebude možné splnit některé podmínky stanoviska a z Oznámení nevyplývá, že by byla v území vyčleněna jiná plocha, která by obdobným způsobem nahrazovala plochu E. Např. naopak ze situace sadových úprav a předloženého dendrologického průzkumu, které jsou součástí Oznámení, vyplývá, že dojde ke kácení prakticky všech stávajících dřevin v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území a to i v částech území, které jsou vyčleněny pro plochy zeleně. Tím dojde k odstranění dřevin s dutinami, mrtvého dřeva apod. které slouží jako stanoviště některých druhů živočichů, a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i přes zhoršený zdravotní stav a stabilitu by v těchto plochách mohly být zachovány a</w:t>
      </w:r>
      <w:r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naplňovat tak podmínky ze stanoviska.</w:t>
      </w:r>
    </w:p>
    <w:p w14:paraId="2B1831C5" w14:textId="77777777" w:rsidR="00D63C1C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Hlavní text Oznámení (viz „01 EIA Barbora 2025“) </w:t>
      </w:r>
      <w:r w:rsidRPr="0066144D">
        <w:rPr>
          <w:rFonts w:ascii="Minion Pro" w:hAnsi="Minion Pro"/>
          <w:b/>
          <w:bCs/>
          <w:sz w:val="24"/>
          <w:szCs w:val="24"/>
        </w:rPr>
        <w:t>nezohledňuje současný význam</w:t>
      </w:r>
      <w:r>
        <w:rPr>
          <w:rFonts w:ascii="Minion Pro" w:hAnsi="Minion Pro"/>
          <w:sz w:val="24"/>
          <w:szCs w:val="24"/>
        </w:rPr>
        <w:t xml:space="preserve"> a dění na území, kde se plánuje realizace záměru. Na straně 156 je dokonce psáno: „Turistických tras se záměr přímo nedotýká“. V celém dokumentu je psáno pouze o budoucím zvýšení atraktivity pro turisty, budoucím propojení kostela sv. Petra z Alkantary a dolu Barbora. Turistické propojení kostela, dolu Gabriela a dolu Barbora již existuje, jsou vypracovány trasy v rámci aplikace Smart Guide, Moravskoslezský kraj vydal v r. 2022 Generel zaniklého města Karviná, v němž jsou trasy také popsány. Jsme přesvědčeni, že </w:t>
      </w:r>
      <w:r w:rsidRPr="000F1A5B">
        <w:rPr>
          <w:rFonts w:ascii="Minion Pro" w:hAnsi="Minion Pro"/>
          <w:b/>
          <w:bCs/>
          <w:sz w:val="24"/>
          <w:szCs w:val="24"/>
        </w:rPr>
        <w:t>záměr negativně ovlivní již existující turistický ruch</w:t>
      </w:r>
      <w:r>
        <w:rPr>
          <w:rFonts w:ascii="Minion Pro" w:hAnsi="Minion Pro"/>
          <w:sz w:val="24"/>
          <w:szCs w:val="24"/>
        </w:rPr>
        <w:t xml:space="preserve"> v cílové lokalitě, protože dojde k oplocení (viz s. 28) značné části území, které je již nyní navštěvováno turisty. </w:t>
      </w:r>
      <w:r w:rsidRPr="0066144D">
        <w:rPr>
          <w:rFonts w:ascii="Minion Pro" w:hAnsi="Minion Pro"/>
          <w:b/>
          <w:bCs/>
          <w:sz w:val="24"/>
          <w:szCs w:val="24"/>
        </w:rPr>
        <w:t>Toto opomenutí pokládáme za velmi vážné</w:t>
      </w:r>
      <w:r>
        <w:rPr>
          <w:rFonts w:ascii="Minion Pro" w:hAnsi="Minion Pro"/>
          <w:sz w:val="24"/>
          <w:szCs w:val="24"/>
        </w:rPr>
        <w:t>, protože nutně vyvstává otázka, zda se předkladatel Oznámení vůbec seznámil s lokací.</w:t>
      </w:r>
    </w:p>
    <w:p w14:paraId="5A3A23DD" w14:textId="77777777" w:rsidR="00D63C1C" w:rsidRDefault="00D63C1C" w:rsidP="00D63C1C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br w:type="page"/>
      </w:r>
    </w:p>
    <w:p w14:paraId="037EB233" w14:textId="46CE5C6D" w:rsidR="00D63C1C" w:rsidRPr="00F30177" w:rsidRDefault="00D63C1C" w:rsidP="00D63C1C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lastRenderedPageBreak/>
        <w:t xml:space="preserve">V předložené dokumentaci Oznámení se vyskytuje několik </w:t>
      </w:r>
      <w:r w:rsidRPr="0066144D">
        <w:rPr>
          <w:rFonts w:ascii="Minion Pro" w:hAnsi="Minion Pro"/>
          <w:b/>
          <w:bCs/>
          <w:sz w:val="24"/>
          <w:szCs w:val="24"/>
        </w:rPr>
        <w:t xml:space="preserve">chybných </w:t>
      </w:r>
      <w:r>
        <w:rPr>
          <w:rFonts w:ascii="Minion Pro" w:hAnsi="Minion Pro"/>
          <w:b/>
          <w:bCs/>
          <w:sz w:val="24"/>
          <w:szCs w:val="24"/>
        </w:rPr>
        <w:t xml:space="preserve">nebo neúplných </w:t>
      </w:r>
      <w:r w:rsidRPr="0066144D">
        <w:rPr>
          <w:rFonts w:ascii="Minion Pro" w:hAnsi="Minion Pro"/>
          <w:b/>
          <w:bCs/>
          <w:sz w:val="24"/>
          <w:szCs w:val="24"/>
        </w:rPr>
        <w:t>informací</w:t>
      </w:r>
      <w:r>
        <w:rPr>
          <w:rFonts w:ascii="Minion Pro" w:hAnsi="Minion Pro"/>
          <w:sz w:val="24"/>
          <w:szCs w:val="24"/>
        </w:rPr>
        <w:t xml:space="preserve">. Na několika místech je území plánované průmyslové zóny označováno jako „brownfield“, přitom toto území se nenachází na seznamu brownfieldů CzechInvestu. Dále je na několika místech (viz s. 5 a s. 94) uvedeno, že na území jsou </w:t>
      </w:r>
      <w:r w:rsidRPr="00CF6E0A">
        <w:rPr>
          <w:rFonts w:ascii="Minion Pro" w:hAnsi="Minion Pro"/>
          <w:b/>
          <w:bCs/>
          <w:sz w:val="24"/>
          <w:szCs w:val="24"/>
        </w:rPr>
        <w:t>mnohametrové navážky hlušiny</w:t>
      </w:r>
      <w:r>
        <w:rPr>
          <w:rFonts w:ascii="Minion Pro" w:hAnsi="Minion Pro"/>
          <w:sz w:val="24"/>
          <w:szCs w:val="24"/>
        </w:rPr>
        <w:t xml:space="preserve">. Z leteckého laserového skenování území zadaného v r. 2022 společností Moravskoslezské Investice a Development, a.s. však vyplývá, že </w:t>
      </w:r>
      <w:r w:rsidRPr="00A010A6">
        <w:rPr>
          <w:rFonts w:ascii="Minion Pro" w:hAnsi="Minion Pro"/>
          <w:b/>
          <w:bCs/>
          <w:sz w:val="24"/>
          <w:szCs w:val="24"/>
        </w:rPr>
        <w:t>na značné části území plánovaného záměru se nachází původní, nenavezený terén</w:t>
      </w:r>
      <w:r>
        <w:rPr>
          <w:rFonts w:ascii="Minion Pro" w:hAnsi="Minion Pro"/>
          <w:sz w:val="24"/>
          <w:szCs w:val="24"/>
        </w:rPr>
        <w:t>.</w:t>
      </w:r>
    </w:p>
    <w:p w14:paraId="7F78DF97" w14:textId="77777777" w:rsidR="00D63C1C" w:rsidRDefault="00D63C1C"/>
    <w:sectPr w:rsidR="00D63C1C" w:rsidSect="00D63C1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6193E"/>
    <w:multiLevelType w:val="multilevel"/>
    <w:tmpl w:val="40C08E40"/>
    <w:lvl w:ilvl="0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98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1C"/>
    <w:rsid w:val="000E612B"/>
    <w:rsid w:val="001368D6"/>
    <w:rsid w:val="00290CD7"/>
    <w:rsid w:val="004A3C1C"/>
    <w:rsid w:val="004B574E"/>
    <w:rsid w:val="00724C9E"/>
    <w:rsid w:val="00B31951"/>
    <w:rsid w:val="00D63C1C"/>
    <w:rsid w:val="00D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4B9EE"/>
  <w15:chartTrackingRefBased/>
  <w15:docId w15:val="{227C1A78-D628-F34F-BFE1-BF619658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C1C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C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C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3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3C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3C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3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3C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3C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C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1045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ŘKF Karviná</dc:creator>
  <cp:keywords/>
  <dc:description/>
  <cp:lastModifiedBy>ŘKF Karviná</cp:lastModifiedBy>
  <cp:revision>2</cp:revision>
  <dcterms:created xsi:type="dcterms:W3CDTF">2025-04-21T09:11:00Z</dcterms:created>
  <dcterms:modified xsi:type="dcterms:W3CDTF">2025-04-21T09:16:00Z</dcterms:modified>
</cp:coreProperties>
</file>